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8D077F" w:rsidRDefault="00AB2CA1" w:rsidP="008D077F">
      <w:pPr>
        <w:spacing w:after="0" w:line="480" w:lineRule="auto"/>
        <w:rPr>
          <w:rFonts w:ascii="Times New Roman" w:hAnsi="Times New Roman" w:cs="Times New Roman"/>
          <w:sz w:val="24"/>
          <w:szCs w:val="24"/>
        </w:rPr>
      </w:pPr>
      <w:r w:rsidRPr="008D077F">
        <w:rPr>
          <w:rFonts w:ascii="Times New Roman" w:hAnsi="Times New Roman" w:cs="Times New Roman"/>
          <w:sz w:val="24"/>
          <w:szCs w:val="24"/>
        </w:rPr>
        <w:tab/>
      </w:r>
    </w:p>
    <w:p w:rsidR="002776F1" w:rsidRPr="008D077F" w:rsidRDefault="007262D8" w:rsidP="008D077F">
      <w:pPr>
        <w:spacing w:after="0" w:line="480" w:lineRule="auto"/>
        <w:rPr>
          <w:rFonts w:ascii="Times New Roman" w:hAnsi="Times New Roman" w:cs="Times New Roman"/>
          <w:sz w:val="24"/>
          <w:szCs w:val="24"/>
        </w:rPr>
      </w:pPr>
    </w:p>
    <w:p w:rsidR="002776F1" w:rsidRPr="008D077F" w:rsidRDefault="007262D8" w:rsidP="008D077F">
      <w:pPr>
        <w:spacing w:after="0" w:line="480" w:lineRule="auto"/>
        <w:rPr>
          <w:rFonts w:ascii="Times New Roman" w:hAnsi="Times New Roman" w:cs="Times New Roman"/>
          <w:sz w:val="24"/>
          <w:szCs w:val="24"/>
        </w:rPr>
      </w:pPr>
    </w:p>
    <w:p w:rsidR="002776F1" w:rsidRPr="008D077F" w:rsidRDefault="007262D8" w:rsidP="008D077F">
      <w:pPr>
        <w:spacing w:after="0" w:line="480" w:lineRule="auto"/>
        <w:rPr>
          <w:rFonts w:ascii="Times New Roman" w:hAnsi="Times New Roman" w:cs="Times New Roman"/>
          <w:sz w:val="24"/>
          <w:szCs w:val="24"/>
        </w:rPr>
      </w:pPr>
    </w:p>
    <w:p w:rsidR="002776F1" w:rsidRPr="008D077F" w:rsidRDefault="007262D8" w:rsidP="008D077F">
      <w:pPr>
        <w:spacing w:after="0" w:line="480" w:lineRule="auto"/>
        <w:rPr>
          <w:rFonts w:ascii="Times New Roman" w:hAnsi="Times New Roman" w:cs="Times New Roman"/>
          <w:sz w:val="24"/>
          <w:szCs w:val="24"/>
        </w:rPr>
      </w:pPr>
    </w:p>
    <w:p w:rsidR="002776F1" w:rsidRPr="008D077F" w:rsidRDefault="007262D8" w:rsidP="008D077F">
      <w:pPr>
        <w:spacing w:after="0" w:line="480" w:lineRule="auto"/>
        <w:rPr>
          <w:rFonts w:ascii="Times New Roman" w:hAnsi="Times New Roman" w:cs="Times New Roman"/>
          <w:sz w:val="24"/>
          <w:szCs w:val="24"/>
        </w:rPr>
      </w:pPr>
    </w:p>
    <w:p w:rsidR="002776F1" w:rsidRPr="008D077F" w:rsidRDefault="007262D8" w:rsidP="008D077F">
      <w:pPr>
        <w:spacing w:after="0" w:line="480" w:lineRule="auto"/>
        <w:rPr>
          <w:rFonts w:ascii="Times New Roman" w:hAnsi="Times New Roman" w:cs="Times New Roman"/>
          <w:sz w:val="24"/>
          <w:szCs w:val="24"/>
        </w:rPr>
      </w:pPr>
    </w:p>
    <w:p w:rsidR="002776F1" w:rsidRDefault="00AB2CA1" w:rsidP="008D07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Reforms in Healthcare</w:t>
      </w:r>
    </w:p>
    <w:p w:rsidR="00445BA2" w:rsidRPr="008D077F" w:rsidRDefault="007262D8" w:rsidP="008D077F">
      <w:pPr>
        <w:spacing w:after="0" w:line="480" w:lineRule="auto"/>
        <w:jc w:val="center"/>
        <w:rPr>
          <w:rFonts w:ascii="Times New Roman" w:hAnsi="Times New Roman" w:cs="Times New Roman"/>
          <w:color w:val="222222"/>
          <w:sz w:val="24"/>
          <w:szCs w:val="24"/>
          <w:shd w:val="clear" w:color="auto" w:fill="FFFFFF"/>
        </w:rPr>
      </w:pPr>
    </w:p>
    <w:p w:rsidR="00BC508B" w:rsidRDefault="00AB2CA1" w:rsidP="008D077F">
      <w:pPr>
        <w:spacing w:after="0" w:line="480" w:lineRule="auto"/>
        <w:jc w:val="center"/>
        <w:rPr>
          <w:rFonts w:ascii="Times New Roman" w:hAnsi="Times New Roman" w:cs="Times New Roman"/>
          <w:color w:val="222222"/>
          <w:sz w:val="24"/>
          <w:szCs w:val="24"/>
          <w:shd w:val="clear" w:color="auto" w:fill="FFFFFF"/>
        </w:rPr>
      </w:pPr>
      <w:r w:rsidRPr="008D077F">
        <w:rPr>
          <w:rFonts w:ascii="Times New Roman" w:hAnsi="Times New Roman" w:cs="Times New Roman"/>
          <w:color w:val="222222"/>
          <w:sz w:val="24"/>
          <w:szCs w:val="24"/>
          <w:shd w:val="clear" w:color="auto" w:fill="FFFFFF"/>
        </w:rPr>
        <w:t>Name</w:t>
      </w:r>
    </w:p>
    <w:p w:rsidR="00445BA2" w:rsidRPr="008D077F" w:rsidRDefault="007262D8" w:rsidP="008D077F">
      <w:pPr>
        <w:spacing w:after="0" w:line="480" w:lineRule="auto"/>
        <w:jc w:val="center"/>
        <w:rPr>
          <w:rFonts w:ascii="Times New Roman" w:hAnsi="Times New Roman" w:cs="Times New Roman"/>
          <w:color w:val="222222"/>
          <w:sz w:val="24"/>
          <w:szCs w:val="24"/>
          <w:shd w:val="clear" w:color="auto" w:fill="FFFFFF"/>
        </w:rPr>
      </w:pPr>
    </w:p>
    <w:p w:rsidR="00BC508B" w:rsidRPr="008D077F" w:rsidRDefault="00AB2CA1" w:rsidP="008D077F">
      <w:pPr>
        <w:spacing w:after="0" w:line="480" w:lineRule="auto"/>
        <w:jc w:val="center"/>
        <w:rPr>
          <w:rFonts w:ascii="Times New Roman" w:hAnsi="Times New Roman" w:cs="Times New Roman"/>
          <w:color w:val="222222"/>
          <w:sz w:val="24"/>
          <w:szCs w:val="24"/>
          <w:shd w:val="clear" w:color="auto" w:fill="FFFFFF"/>
        </w:rPr>
      </w:pPr>
      <w:r w:rsidRPr="008D077F">
        <w:rPr>
          <w:rFonts w:ascii="Times New Roman" w:hAnsi="Times New Roman" w:cs="Times New Roman"/>
          <w:color w:val="222222"/>
          <w:sz w:val="24"/>
          <w:szCs w:val="24"/>
          <w:shd w:val="clear" w:color="auto" w:fill="FFFFFF"/>
        </w:rPr>
        <w:t>Institution</w:t>
      </w:r>
    </w:p>
    <w:p w:rsidR="00CB5077" w:rsidRPr="008D077F" w:rsidRDefault="007262D8"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7262D8"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7262D8"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7262D8"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7262D8" w:rsidP="008D077F">
      <w:pPr>
        <w:spacing w:after="0" w:line="480" w:lineRule="auto"/>
        <w:jc w:val="center"/>
        <w:rPr>
          <w:rFonts w:ascii="Times New Roman" w:hAnsi="Times New Roman" w:cs="Times New Roman"/>
          <w:color w:val="222222"/>
          <w:sz w:val="24"/>
          <w:szCs w:val="24"/>
          <w:shd w:val="clear" w:color="auto" w:fill="FFFFFF"/>
        </w:rPr>
      </w:pPr>
    </w:p>
    <w:p w:rsidR="00336361" w:rsidRPr="008D077F" w:rsidRDefault="00AB2CA1" w:rsidP="008D077F">
      <w:pPr>
        <w:spacing w:after="0" w:line="480" w:lineRule="auto"/>
        <w:rPr>
          <w:rFonts w:ascii="Times New Roman" w:hAnsi="Times New Roman" w:cs="Times New Roman"/>
          <w:color w:val="222222"/>
          <w:sz w:val="24"/>
          <w:szCs w:val="24"/>
          <w:shd w:val="clear" w:color="auto" w:fill="FFFFFF"/>
        </w:rPr>
      </w:pPr>
      <w:r w:rsidRPr="008D077F">
        <w:rPr>
          <w:rFonts w:ascii="Times New Roman" w:hAnsi="Times New Roman" w:cs="Times New Roman"/>
          <w:color w:val="222222"/>
          <w:sz w:val="24"/>
          <w:szCs w:val="24"/>
          <w:shd w:val="clear" w:color="auto" w:fill="FFFFFF"/>
        </w:rPr>
        <w:br w:type="page"/>
      </w:r>
    </w:p>
    <w:p w:rsidR="00EB1AE6" w:rsidRPr="008D077F" w:rsidRDefault="00AB2CA1" w:rsidP="008D07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Reforms in Healthcare</w:t>
      </w:r>
    </w:p>
    <w:p w:rsidR="008D077F" w:rsidRPr="007F5C64" w:rsidRDefault="001E61F5" w:rsidP="008D077F">
      <w:pPr>
        <w:spacing w:after="0"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Introduction</w:t>
      </w:r>
    </w:p>
    <w:p w:rsidR="00CA6B43" w:rsidRDefault="00AB2CA1" w:rsidP="007F5C64">
      <w:pPr>
        <w:pStyle w:val="NormalWeb"/>
        <w:shd w:val="clear" w:color="auto" w:fill="FFFFFF"/>
        <w:spacing w:after="0" w:line="480" w:lineRule="auto"/>
        <w:ind w:firstLine="720"/>
        <w:rPr>
          <w:color w:val="333333"/>
        </w:rPr>
      </w:pPr>
      <w:r>
        <w:rPr>
          <w:color w:val="333333"/>
        </w:rPr>
        <w:t>In the course of implementing health care reforms, organizations within the industry face specific performance benchmarks resulting from the laws and policies set by all ranks of the government spanning from the local, the state, and to the federal government (</w:t>
      </w:r>
      <w:r>
        <w:rPr>
          <w:color w:val="222222"/>
          <w:shd w:val="clear" w:color="auto" w:fill="FFFFFF"/>
        </w:rPr>
        <w:t xml:space="preserve">Abujudeh et al., </w:t>
      </w:r>
      <w:r w:rsidRPr="00F911E3">
        <w:rPr>
          <w:color w:val="222222"/>
          <w:shd w:val="clear" w:color="auto" w:fill="FFFFFF"/>
        </w:rPr>
        <w:t>2010)</w:t>
      </w:r>
      <w:r>
        <w:rPr>
          <w:color w:val="333333"/>
        </w:rPr>
        <w:t>. Healthcare organizations must have models for analysis and understanding of the reports as well as benchmarks that depict the metrics about performance and compliance with these benchmarks. In this report, there will be analysis, interpretation, and evaluation of the dashboard metrics. The paper will review the performance dashboard for the Mercy Medical Center and the relevant local, state, federal and local laws and policies that are s</w:t>
      </w:r>
      <w:r w:rsidR="007B75CE">
        <w:rPr>
          <w:color w:val="333333"/>
        </w:rPr>
        <w:t xml:space="preserve">pecific to the performance. The proposed healthcare policy proposed for change will be introducing </w:t>
      </w:r>
      <w:r w:rsidR="007544DD">
        <w:rPr>
          <w:color w:val="333333"/>
        </w:rPr>
        <w:t>meeting the patient to nurse ratio by recruiting more nurses</w:t>
      </w:r>
      <w:r>
        <w:rPr>
          <w:color w:val="333333"/>
        </w:rPr>
        <w:t>. On end, the paper will apply various models in communicating with the policymakers as a way of responding to the results of the benchmark analysis.</w:t>
      </w:r>
    </w:p>
    <w:p w:rsidR="00C225A2" w:rsidRPr="00A650CF" w:rsidRDefault="00AB2CA1" w:rsidP="00A650CF">
      <w:pPr>
        <w:pStyle w:val="NormalWeb"/>
        <w:shd w:val="clear" w:color="auto" w:fill="FFFFFF"/>
        <w:spacing w:after="0" w:line="480" w:lineRule="auto"/>
        <w:jc w:val="center"/>
        <w:rPr>
          <w:b/>
          <w:color w:val="333333"/>
        </w:rPr>
      </w:pPr>
      <w:r w:rsidRPr="00A650CF">
        <w:rPr>
          <w:b/>
          <w:color w:val="333333"/>
        </w:rPr>
        <w:t>Effects of Healthcare Policies, Laws and Regulations on the Organization</w:t>
      </w:r>
    </w:p>
    <w:p w:rsidR="00C225A2" w:rsidRDefault="00AB2CA1" w:rsidP="00A650CF">
      <w:pPr>
        <w:pStyle w:val="NormalWeb"/>
        <w:shd w:val="clear" w:color="auto" w:fill="FFFFFF"/>
        <w:spacing w:after="0" w:line="480" w:lineRule="auto"/>
        <w:ind w:firstLine="720"/>
        <w:rPr>
          <w:color w:val="333333"/>
        </w:rPr>
      </w:pPr>
      <w:r>
        <w:rPr>
          <w:color w:val="333333"/>
        </w:rPr>
        <w:t>The healthcare system is constrained to policies and procedures that are applied when deliberating necessary changes to the management systems. The government acts as an oversight in the implementation of these policies since it is a corporate partner in the management of the healthcare procedures (</w:t>
      </w:r>
      <w:r>
        <w:rPr>
          <w:color w:val="222222"/>
          <w:shd w:val="clear" w:color="auto" w:fill="FFFFFF"/>
        </w:rPr>
        <w:t xml:space="preserve">Klazinga et al., </w:t>
      </w:r>
      <w:r w:rsidRPr="00F911E3">
        <w:rPr>
          <w:color w:val="222222"/>
          <w:shd w:val="clear" w:color="auto" w:fill="FFFFFF"/>
        </w:rPr>
        <w:t>2011)</w:t>
      </w:r>
      <w:r w:rsidR="007544DD">
        <w:rPr>
          <w:color w:val="333333"/>
        </w:rPr>
        <w:t>. For instance, there are guidelines on the nursing staffing policy, which should ensure that the patient to nurse ratio are within normal limits. Meeting such standards can help in reducing the cycle time for the patients. The cycle is the period when a patient is admitted and when he or she sees a doctor</w:t>
      </w:r>
      <w:r>
        <w:rPr>
          <w:color w:val="333333"/>
        </w:rPr>
        <w:t xml:space="preserve">. </w:t>
      </w:r>
    </w:p>
    <w:p w:rsidR="00B34D15" w:rsidRDefault="007544DD" w:rsidP="00445BA2">
      <w:pPr>
        <w:pStyle w:val="NormalWeb"/>
        <w:shd w:val="clear" w:color="auto" w:fill="FFFFFF"/>
        <w:spacing w:after="0" w:line="480" w:lineRule="auto"/>
        <w:rPr>
          <w:color w:val="333333"/>
        </w:rPr>
      </w:pPr>
      <w:r>
        <w:rPr>
          <w:color w:val="333333"/>
        </w:rPr>
        <w:tab/>
      </w:r>
      <w:r w:rsidR="00AB2CA1">
        <w:rPr>
          <w:color w:val="333333"/>
        </w:rPr>
        <w:t>On the other hand, other policies regulate the governance and implementation of procedures within the healthcare system</w:t>
      </w:r>
      <w:r>
        <w:rPr>
          <w:color w:val="333333"/>
        </w:rPr>
        <w:t xml:space="preserve">, which may include training nurses on the current </w:t>
      </w:r>
      <w:r>
        <w:rPr>
          <w:color w:val="333333"/>
        </w:rPr>
        <w:lastRenderedPageBreak/>
        <w:t>evidence-based practices</w:t>
      </w:r>
      <w:r w:rsidR="00AB2CA1">
        <w:rPr>
          <w:color w:val="333333"/>
        </w:rPr>
        <w:t>. Most of these regulations and policies affect the health and human services department (HHS), where they act as guidance for the whole industry. Some of these laws cover vital topics such as standards of information technology and access to health insurance (</w:t>
      </w:r>
      <w:r w:rsidR="00AB2CA1">
        <w:rPr>
          <w:color w:val="222222"/>
          <w:shd w:val="clear" w:color="auto" w:fill="FFFFFF"/>
        </w:rPr>
        <w:t xml:space="preserve">Klazinga et al., </w:t>
      </w:r>
      <w:r w:rsidR="00AB2CA1" w:rsidRPr="00F911E3">
        <w:rPr>
          <w:color w:val="222222"/>
          <w:shd w:val="clear" w:color="auto" w:fill="FFFFFF"/>
        </w:rPr>
        <w:t>2011)</w:t>
      </w:r>
      <w:r w:rsidR="00AB2CA1">
        <w:rPr>
          <w:color w:val="333333"/>
        </w:rPr>
        <w:t xml:space="preserve">. </w:t>
      </w:r>
      <w:r>
        <w:rPr>
          <w:color w:val="333333"/>
        </w:rPr>
        <w:t>In this regard, meeting the patient to nurse ratio policy and provision of training programs on evidence-based practices can help in reducing the readmission rates</w:t>
      </w:r>
      <w:r w:rsidR="00AB2CA1">
        <w:rPr>
          <w:color w:val="333333"/>
        </w:rPr>
        <w:t>.</w:t>
      </w:r>
    </w:p>
    <w:p w:rsidR="00B34D15" w:rsidRDefault="00AB2CA1" w:rsidP="00445BA2">
      <w:pPr>
        <w:pStyle w:val="NormalWeb"/>
        <w:shd w:val="clear" w:color="auto" w:fill="FFFFFF"/>
        <w:spacing w:after="0" w:line="480" w:lineRule="auto"/>
        <w:rPr>
          <w:color w:val="333333"/>
        </w:rPr>
      </w:pPr>
      <w:r>
        <w:rPr>
          <w:color w:val="333333"/>
        </w:rPr>
        <w:tab/>
        <w:t>Since the decisions in the healthcare practice are made according to the federal, local and state regulations, healthcare organizations face various challenges in meeting the prescribed benchmarks (</w:t>
      </w:r>
      <w:r>
        <w:rPr>
          <w:color w:val="222222"/>
          <w:shd w:val="clear" w:color="auto" w:fill="FFFFFF"/>
        </w:rPr>
        <w:t xml:space="preserve">Abujudeh et al., </w:t>
      </w:r>
      <w:r w:rsidRPr="00F911E3">
        <w:rPr>
          <w:color w:val="222222"/>
          <w:shd w:val="clear" w:color="auto" w:fill="FFFFFF"/>
        </w:rPr>
        <w:t>2010)</w:t>
      </w:r>
      <w:r>
        <w:rPr>
          <w:color w:val="333333"/>
        </w:rPr>
        <w:t>. For instance, the Mercy Medical Center is faced with the challenge of meeting the readmission rates in its areas of performance. In 2016, the rate of readmission for the organization was 3%, which was far below the 37% national readmission requirement (</w:t>
      </w:r>
      <w:r>
        <w:rPr>
          <w:color w:val="222222"/>
          <w:shd w:val="clear" w:color="auto" w:fill="FFFFFF"/>
        </w:rPr>
        <w:t xml:space="preserve">Lacy et al., </w:t>
      </w:r>
      <w:r w:rsidRPr="00F911E3">
        <w:rPr>
          <w:color w:val="222222"/>
          <w:shd w:val="clear" w:color="auto" w:fill="FFFFFF"/>
        </w:rPr>
        <w:t>2014)</w:t>
      </w:r>
      <w:r>
        <w:rPr>
          <w:color w:val="333333"/>
        </w:rPr>
        <w:t>. The other sectors where the organization fell below the required rate of readmission were in the pneumonia local readmission as well as the general local rates of readmission. The organization has faced the challenge of lack of enough resources for reimbursement, which has reduced the rates of service provision, leading to low readmission rates (</w:t>
      </w:r>
      <w:r>
        <w:rPr>
          <w:color w:val="222222"/>
          <w:shd w:val="clear" w:color="auto" w:fill="FFFFFF"/>
        </w:rPr>
        <w:t xml:space="preserve">Klazinga et al., </w:t>
      </w:r>
      <w:r w:rsidRPr="00F911E3">
        <w:rPr>
          <w:color w:val="222222"/>
          <w:shd w:val="clear" w:color="auto" w:fill="FFFFFF"/>
        </w:rPr>
        <w:t>2011)</w:t>
      </w:r>
      <w:r>
        <w:rPr>
          <w:color w:val="333333"/>
        </w:rPr>
        <w:t>. This implies that the organization has the challenge of meeting the federal government requirement amid the constraint of lack of resources meant to meet the needs of consumers within the industry.</w:t>
      </w:r>
      <w:r w:rsidR="007544DD">
        <w:rPr>
          <w:color w:val="333333"/>
        </w:rPr>
        <w:t xml:space="preserve"> The high rates of readmission are due to the increased levels of patient to nurse ratio.</w:t>
      </w:r>
    </w:p>
    <w:p w:rsidR="00A650CF" w:rsidRPr="001E61F5" w:rsidRDefault="00AB2CA1" w:rsidP="001E61F5">
      <w:pPr>
        <w:pStyle w:val="NormalWeb"/>
        <w:shd w:val="clear" w:color="auto" w:fill="FFFFFF"/>
        <w:spacing w:after="0" w:line="480" w:lineRule="auto"/>
        <w:jc w:val="center"/>
        <w:rPr>
          <w:b/>
          <w:color w:val="333333"/>
        </w:rPr>
      </w:pPr>
      <w:r w:rsidRPr="001E61F5">
        <w:rPr>
          <w:b/>
          <w:color w:val="333333"/>
        </w:rPr>
        <w:t>Leading the Development and Implementation of Ethically and Culturally Sensitive Policies</w:t>
      </w:r>
    </w:p>
    <w:p w:rsidR="002932E1" w:rsidRDefault="00AB2CA1" w:rsidP="00445BA2">
      <w:pPr>
        <w:pStyle w:val="NormalWeb"/>
        <w:shd w:val="clear" w:color="auto" w:fill="FFFFFF"/>
        <w:spacing w:after="0" w:line="480" w:lineRule="auto"/>
        <w:rPr>
          <w:color w:val="333333"/>
        </w:rPr>
      </w:pPr>
      <w:r>
        <w:rPr>
          <w:color w:val="333333"/>
        </w:rPr>
        <w:tab/>
        <w:t>There are ethically and culturally sensitive policies that are meant to improve the health outcomes for individuals, organizations and the national populations (</w:t>
      </w:r>
      <w:r>
        <w:rPr>
          <w:color w:val="222222"/>
          <w:shd w:val="clear" w:color="auto" w:fill="FFFFFF"/>
        </w:rPr>
        <w:t xml:space="preserve">Abujudeh et al., </w:t>
      </w:r>
      <w:r w:rsidRPr="00F911E3">
        <w:rPr>
          <w:color w:val="222222"/>
          <w:shd w:val="clear" w:color="auto" w:fill="FFFFFF"/>
        </w:rPr>
        <w:t>2010)</w:t>
      </w:r>
      <w:r>
        <w:rPr>
          <w:color w:val="333333"/>
        </w:rPr>
        <w:t xml:space="preserve">. The </w:t>
      </w:r>
      <w:r>
        <w:rPr>
          <w:color w:val="333333"/>
        </w:rPr>
        <w:lastRenderedPageBreak/>
        <w:t>increase in diversity of a nation can lead to benefits such as the creation of opportunities, while it may be a setback for healthcare providers in meeting the challenges of diversity such as delivery of culturally competent services (</w:t>
      </w:r>
      <w:r>
        <w:rPr>
          <w:color w:val="222222"/>
          <w:shd w:val="clear" w:color="auto" w:fill="FFFFFF"/>
        </w:rPr>
        <w:t xml:space="preserve">Lacy et al., </w:t>
      </w:r>
      <w:r w:rsidRPr="00F911E3">
        <w:rPr>
          <w:color w:val="222222"/>
          <w:shd w:val="clear" w:color="auto" w:fill="FFFFFF"/>
        </w:rPr>
        <w:t>2014)</w:t>
      </w:r>
      <w:r>
        <w:rPr>
          <w:color w:val="333333"/>
        </w:rPr>
        <w:t xml:space="preserve">. </w:t>
      </w:r>
      <w:r w:rsidR="007544DD">
        <w:rPr>
          <w:color w:val="333333"/>
        </w:rPr>
        <w:t xml:space="preserve">Staffing policies for nurses should meet the cultural diversity criteria, while education on evidence-based practices should focus on enhancing cultural diversity. </w:t>
      </w:r>
      <w:r>
        <w:rPr>
          <w:color w:val="333333"/>
        </w:rPr>
        <w:t>A culturally competent healthcare system is one where healthcare providers and organizations can effectively deliver the healthcare services that par with the social, cultural and linguistic needs of patients. Once the healthcare system is culturally competent, it can not only improve the healthcare outcomes but also lead to the elimination of the racial and ethnic disparities in healthcare.</w:t>
      </w:r>
    </w:p>
    <w:p w:rsidR="00A650CF" w:rsidRDefault="00AB2CA1" w:rsidP="002932E1">
      <w:pPr>
        <w:pStyle w:val="NormalWeb"/>
        <w:shd w:val="clear" w:color="auto" w:fill="FFFFFF"/>
        <w:spacing w:after="0" w:line="480" w:lineRule="auto"/>
        <w:ind w:firstLine="720"/>
        <w:rPr>
          <w:color w:val="333333"/>
        </w:rPr>
      </w:pPr>
      <w:r>
        <w:rPr>
          <w:color w:val="333333"/>
        </w:rPr>
        <w:t>The Mercy Medical Center has improved regarding competency in diversity, where it is applying strategies such as the provision of training of staff on the issues related to cultural competence and the need to embrace an inclusive and cross-cultural environment (</w:t>
      </w:r>
      <w:r w:rsidRPr="00F911E3">
        <w:rPr>
          <w:color w:val="222222"/>
          <w:shd w:val="clear" w:color="auto" w:fill="FFFFFF"/>
        </w:rPr>
        <w:t>Wadongo</w:t>
      </w:r>
      <w:r>
        <w:rPr>
          <w:color w:val="222222"/>
          <w:shd w:val="clear" w:color="auto" w:fill="FFFFFF"/>
        </w:rPr>
        <w:t xml:space="preserve"> et al., </w:t>
      </w:r>
      <w:r w:rsidRPr="00F911E3">
        <w:rPr>
          <w:color w:val="222222"/>
          <w:shd w:val="clear" w:color="auto" w:fill="FFFFFF"/>
        </w:rPr>
        <w:t>2010)</w:t>
      </w:r>
      <w:r>
        <w:rPr>
          <w:color w:val="333333"/>
        </w:rPr>
        <w:t xml:space="preserve">. The organization has also set up policies </w:t>
      </w:r>
      <w:r w:rsidR="007544DD">
        <w:rPr>
          <w:color w:val="333333"/>
        </w:rPr>
        <w:t>of recruitment of nurses from different cultural backgrounds to enhance the practice of cultural diversity</w:t>
      </w:r>
      <w:r>
        <w:rPr>
          <w:color w:val="333333"/>
        </w:rPr>
        <w:t>.</w:t>
      </w:r>
    </w:p>
    <w:p w:rsidR="00AD0A78" w:rsidRPr="00AD0A78" w:rsidRDefault="00AB2CA1" w:rsidP="0010415E">
      <w:pPr>
        <w:pStyle w:val="NormalWeb"/>
        <w:shd w:val="clear" w:color="auto" w:fill="FFFFFF"/>
        <w:spacing w:after="0" w:line="480" w:lineRule="auto"/>
        <w:jc w:val="center"/>
        <w:rPr>
          <w:b/>
          <w:color w:val="333333"/>
        </w:rPr>
      </w:pPr>
      <w:r w:rsidRPr="00AD0A78">
        <w:rPr>
          <w:b/>
          <w:color w:val="333333"/>
        </w:rPr>
        <w:t>Evaluation of Relevant Indicators of Performance</w:t>
      </w:r>
    </w:p>
    <w:p w:rsidR="00AD0A78" w:rsidRDefault="00AB2CA1" w:rsidP="00AD0A78">
      <w:pPr>
        <w:pStyle w:val="NormalWeb"/>
        <w:shd w:val="clear" w:color="auto" w:fill="FFFFFF"/>
        <w:spacing w:after="0" w:line="480" w:lineRule="auto"/>
        <w:ind w:firstLine="720"/>
        <w:rPr>
          <w:color w:val="333333"/>
        </w:rPr>
      </w:pPr>
      <w:r>
        <w:rPr>
          <w:color w:val="333333"/>
        </w:rPr>
        <w:t>There are relevant indicators of performance, which include benchmarks research and best practices for healthcare policies and law for patients, healthcare organiza</w:t>
      </w:r>
      <w:r w:rsidR="00530ACB">
        <w:rPr>
          <w:color w:val="333333"/>
        </w:rPr>
        <w:t xml:space="preserve">tions and national populations </w:t>
      </w:r>
      <w:r>
        <w:rPr>
          <w:color w:val="333333"/>
        </w:rPr>
        <w:t>(</w:t>
      </w:r>
      <w:r>
        <w:rPr>
          <w:color w:val="222222"/>
          <w:shd w:val="clear" w:color="auto" w:fill="FFFFFF"/>
        </w:rPr>
        <w:t xml:space="preserve">Klazinga et al., </w:t>
      </w:r>
      <w:r w:rsidRPr="00F911E3">
        <w:rPr>
          <w:color w:val="222222"/>
          <w:shd w:val="clear" w:color="auto" w:fill="FFFFFF"/>
        </w:rPr>
        <w:t>2011)</w:t>
      </w:r>
      <w:r>
        <w:rPr>
          <w:color w:val="333333"/>
        </w:rPr>
        <w:t xml:space="preserve">. Analysis of the medical center shows that the execution specialists have not established a system of </w:t>
      </w:r>
      <w:r w:rsidR="00530ACB">
        <w:rPr>
          <w:color w:val="333333"/>
        </w:rPr>
        <w:t>ensuring that the staff is proactive in responding to constraints such as</w:t>
      </w:r>
      <w:r>
        <w:rPr>
          <w:color w:val="333333"/>
        </w:rPr>
        <w:t xml:space="preserve"> accessibility, accountability, and the legitimacy that matches with the healthcare federal policies. </w:t>
      </w:r>
      <w:r w:rsidR="00530ACB">
        <w:rPr>
          <w:color w:val="333333"/>
        </w:rPr>
        <w:t>These constraints have been rampant due to the poor staff recruitment procedures</w:t>
      </w:r>
      <w:r>
        <w:rPr>
          <w:color w:val="333333"/>
        </w:rPr>
        <w:t xml:space="preserve"> (</w:t>
      </w:r>
      <w:r w:rsidRPr="00F911E3">
        <w:rPr>
          <w:color w:val="222222"/>
          <w:shd w:val="clear" w:color="auto" w:fill="FFFFFF"/>
        </w:rPr>
        <w:t>Wadongo</w:t>
      </w:r>
      <w:r>
        <w:rPr>
          <w:color w:val="222222"/>
          <w:shd w:val="clear" w:color="auto" w:fill="FFFFFF"/>
        </w:rPr>
        <w:t xml:space="preserve"> et al., </w:t>
      </w:r>
      <w:r w:rsidRPr="00F911E3">
        <w:rPr>
          <w:color w:val="222222"/>
          <w:shd w:val="clear" w:color="auto" w:fill="FFFFFF"/>
        </w:rPr>
        <w:t>2010)</w:t>
      </w:r>
      <w:r>
        <w:rPr>
          <w:color w:val="333333"/>
        </w:rPr>
        <w:t xml:space="preserve">. With the right performance indicators in place, the healthcare organization would have met the federal requirements as it would be able to identify </w:t>
      </w:r>
      <w:r>
        <w:rPr>
          <w:color w:val="333333"/>
        </w:rPr>
        <w:lastRenderedPageBreak/>
        <w:t xml:space="preserve">opportunities in areas of improvement, test innovations and report on the results to the relevant stakeholders. </w:t>
      </w:r>
      <w:r w:rsidR="00530ACB">
        <w:rPr>
          <w:color w:val="333333"/>
        </w:rPr>
        <w:t xml:space="preserve">This implies that the system of recruitment of nurses at the healthcare facility should be based on the professional levels, while the number of nurses within the healthcare facility should be aligned with the patient requirements. </w:t>
      </w:r>
    </w:p>
    <w:p w:rsidR="0010415E" w:rsidRDefault="00AB2CA1" w:rsidP="00AD0A78">
      <w:pPr>
        <w:pStyle w:val="NormalWeb"/>
        <w:shd w:val="clear" w:color="auto" w:fill="FFFFFF"/>
        <w:spacing w:after="0" w:line="480" w:lineRule="auto"/>
        <w:ind w:firstLine="720"/>
        <w:rPr>
          <w:color w:val="333333"/>
        </w:rPr>
      </w:pPr>
      <w:r>
        <w:rPr>
          <w:color w:val="333333"/>
        </w:rPr>
        <w:t>The benchmark that can be used in the evaluation of performance in the healthcare organization is key performance indicator (KPI), which is a measurable value demonstrating how effective the healthcare organization is achieving the key success business objectives. The major deliverables that determine performance at the healthcare organization include the patient wait time, where the tool measures the average amount of time that a patient waits as he checks in and seeing a healthcare practitioner (</w:t>
      </w:r>
      <w:r>
        <w:rPr>
          <w:color w:val="222222"/>
          <w:shd w:val="clear" w:color="auto" w:fill="FFFFFF"/>
        </w:rPr>
        <w:t xml:space="preserve">Abujudeh et al., </w:t>
      </w:r>
      <w:r w:rsidRPr="00F911E3">
        <w:rPr>
          <w:color w:val="222222"/>
          <w:shd w:val="clear" w:color="auto" w:fill="FFFFFF"/>
        </w:rPr>
        <w:t>2010)</w:t>
      </w:r>
      <w:r>
        <w:rPr>
          <w:color w:val="333333"/>
        </w:rPr>
        <w:t>. This key performance indicator has helped in improving the patient outcomes in the healthcare facility regarding providing guidance on the staffing and scheduling procedures.</w:t>
      </w:r>
    </w:p>
    <w:p w:rsidR="00BC1794" w:rsidRDefault="00AB2CA1" w:rsidP="00AD0A78">
      <w:pPr>
        <w:pStyle w:val="NormalWeb"/>
        <w:shd w:val="clear" w:color="auto" w:fill="FFFFFF"/>
        <w:spacing w:after="0" w:line="480" w:lineRule="auto"/>
        <w:ind w:firstLine="720"/>
        <w:rPr>
          <w:color w:val="333333"/>
        </w:rPr>
      </w:pPr>
      <w:r>
        <w:rPr>
          <w:color w:val="333333"/>
        </w:rPr>
        <w:t xml:space="preserve">The performance benchmark has also been used to guide through the </w:t>
      </w:r>
      <w:r w:rsidR="00530ACB">
        <w:rPr>
          <w:color w:val="333333"/>
        </w:rPr>
        <w:t>patient satisfaction levels</w:t>
      </w:r>
      <w:r>
        <w:rPr>
          <w:color w:val="333333"/>
        </w:rPr>
        <w:t xml:space="preserve"> (</w:t>
      </w:r>
      <w:r>
        <w:rPr>
          <w:color w:val="222222"/>
          <w:shd w:val="clear" w:color="auto" w:fill="FFFFFF"/>
        </w:rPr>
        <w:t xml:space="preserve">Lacy et al., </w:t>
      </w:r>
      <w:r w:rsidRPr="00F911E3">
        <w:rPr>
          <w:color w:val="222222"/>
          <w:shd w:val="clear" w:color="auto" w:fill="FFFFFF"/>
        </w:rPr>
        <w:t>2014)</w:t>
      </w:r>
      <w:r>
        <w:rPr>
          <w:color w:val="333333"/>
        </w:rPr>
        <w:t xml:space="preserve">. </w:t>
      </w:r>
      <w:r w:rsidR="00530ACB">
        <w:rPr>
          <w:color w:val="333333"/>
        </w:rPr>
        <w:t xml:space="preserve"> It is evident that with the increase in the number of patients as well as the readmission rates, more nurses are required to respond to the patient needs</w:t>
      </w:r>
      <w:r>
        <w:rPr>
          <w:color w:val="333333"/>
        </w:rPr>
        <w:t>. The benchmark can also determine the staff-to-</w:t>
      </w:r>
      <w:r w:rsidR="006700B6">
        <w:rPr>
          <w:color w:val="333333"/>
        </w:rPr>
        <w:t>patient ratio</w:t>
      </w:r>
      <w:r>
        <w:rPr>
          <w:color w:val="333333"/>
        </w:rPr>
        <w:t>, which has guided the healthcare facility to understand how to utilize the capacity of staff resources, which affects the provision of quality (</w:t>
      </w:r>
      <w:r>
        <w:rPr>
          <w:color w:val="222222"/>
          <w:shd w:val="clear" w:color="auto" w:fill="FFFFFF"/>
        </w:rPr>
        <w:t xml:space="preserve">Abujudeh et al., </w:t>
      </w:r>
      <w:r w:rsidRPr="00F911E3">
        <w:rPr>
          <w:color w:val="222222"/>
          <w:shd w:val="clear" w:color="auto" w:fill="FFFFFF"/>
        </w:rPr>
        <w:t>2010)</w:t>
      </w:r>
      <w:r>
        <w:rPr>
          <w:color w:val="333333"/>
        </w:rPr>
        <w:t xml:space="preserve">. The results of the nurse-to-patient ratio at the Mercy Medical Center shows that the ratio is lower than the average requirement set by the federal laws. </w:t>
      </w:r>
    </w:p>
    <w:p w:rsidR="00BC1794" w:rsidRDefault="00AB2CA1" w:rsidP="00AD0A78">
      <w:pPr>
        <w:pStyle w:val="NormalWeb"/>
        <w:shd w:val="clear" w:color="auto" w:fill="FFFFFF"/>
        <w:spacing w:after="0" w:line="480" w:lineRule="auto"/>
        <w:ind w:firstLine="720"/>
        <w:rPr>
          <w:color w:val="333333"/>
        </w:rPr>
      </w:pPr>
      <w:r>
        <w:rPr>
          <w:color w:val="333333"/>
        </w:rPr>
        <w:t xml:space="preserve">The performance measure has also been a viable tool in the determination of the performance regarding management of finance. For instance, the tool can help in determining the average insurance claim processing time as well the costs. In this case, the Mercy Medical Center has been able to know the average amount of time and the finances it uses in the course of </w:t>
      </w:r>
      <w:r>
        <w:rPr>
          <w:color w:val="333333"/>
        </w:rPr>
        <w:lastRenderedPageBreak/>
        <w:t>processing insurance claims (</w:t>
      </w:r>
      <w:r>
        <w:rPr>
          <w:color w:val="222222"/>
          <w:shd w:val="clear" w:color="auto" w:fill="FFFFFF"/>
        </w:rPr>
        <w:t xml:space="preserve">Klazinga et al., </w:t>
      </w:r>
      <w:r w:rsidRPr="00F911E3">
        <w:rPr>
          <w:color w:val="222222"/>
          <w:shd w:val="clear" w:color="auto" w:fill="FFFFFF"/>
        </w:rPr>
        <w:t>2011)</w:t>
      </w:r>
      <w:r>
        <w:rPr>
          <w:color w:val="333333"/>
        </w:rPr>
        <w:t>. In cases where the claim processing time and cost is low, the institution knows that it receives payments faster and the cost to the patients is low. On the other hand, the tool can aid in the determination of the claims denial rate as well as the average treatment charges for the patients.</w:t>
      </w:r>
    </w:p>
    <w:p w:rsidR="003D1886" w:rsidRPr="007F5C64" w:rsidRDefault="00AB2CA1" w:rsidP="00AD0A78">
      <w:pPr>
        <w:pStyle w:val="NormalWeb"/>
        <w:shd w:val="clear" w:color="auto" w:fill="FFFFFF"/>
        <w:spacing w:after="0" w:line="480" w:lineRule="auto"/>
        <w:ind w:firstLine="720"/>
        <w:rPr>
          <w:b/>
          <w:color w:val="333333"/>
        </w:rPr>
      </w:pPr>
      <w:r w:rsidRPr="007F5C64">
        <w:rPr>
          <w:b/>
          <w:color w:val="333333"/>
        </w:rPr>
        <w:t>Modes of communication with Policymakers, stakeholders, colleagues, and patients</w:t>
      </w:r>
    </w:p>
    <w:p w:rsidR="003D1886" w:rsidRDefault="00AB2CA1" w:rsidP="007F5C64">
      <w:pPr>
        <w:pStyle w:val="NormalWeb"/>
        <w:shd w:val="clear" w:color="auto" w:fill="FFFFFF"/>
        <w:spacing w:after="0" w:line="480" w:lineRule="auto"/>
        <w:ind w:firstLine="720"/>
        <w:rPr>
          <w:color w:val="333333"/>
        </w:rPr>
      </w:pPr>
      <w:r>
        <w:rPr>
          <w:color w:val="333333"/>
        </w:rPr>
        <w:t>Different implementations have been made to enhance communication, which has aided in improving the interactions with stakeholders, healthcare specialists, and policymakers (</w:t>
      </w:r>
      <w:r>
        <w:rPr>
          <w:color w:val="222222"/>
          <w:shd w:val="clear" w:color="auto" w:fill="FFFFFF"/>
        </w:rPr>
        <w:t xml:space="preserve">Klazinga et al., </w:t>
      </w:r>
      <w:r w:rsidRPr="00F911E3">
        <w:rPr>
          <w:color w:val="222222"/>
          <w:shd w:val="clear" w:color="auto" w:fill="FFFFFF"/>
        </w:rPr>
        <w:t>2011)</w:t>
      </w:r>
      <w:r>
        <w:rPr>
          <w:color w:val="333333"/>
        </w:rPr>
        <w:t>. These communication modes are majorly the media platforms, where the company uses its website to interact with relevant stakeholders within the healthcare system. A plausible means of communication is ensuring that the information that is shared among the stakeholders is relevant and can lead to positive outcomes in healthcare. For example, the policymakers should involve the healthcare organizations in formulating the laws, where such policies should meet the constraints that each organization faces. In this regard, a plausible system of communication can allow each party to raise important issues that can guide in the course of the formulation of policies in healthcare (</w:t>
      </w:r>
      <w:r>
        <w:rPr>
          <w:color w:val="222222"/>
          <w:shd w:val="clear" w:color="auto" w:fill="FFFFFF"/>
        </w:rPr>
        <w:t xml:space="preserve">Abujudeh et al., </w:t>
      </w:r>
      <w:r w:rsidRPr="00F911E3">
        <w:rPr>
          <w:color w:val="222222"/>
          <w:shd w:val="clear" w:color="auto" w:fill="FFFFFF"/>
        </w:rPr>
        <w:t>2010)</w:t>
      </w:r>
      <w:r>
        <w:rPr>
          <w:color w:val="333333"/>
        </w:rPr>
        <w:t xml:space="preserve">. Communicating important information may also reduce the burden of universal application of the laws, which is a constraint, bearing in mind that there are variations in capabilities and resource orientation among the healthcare organizations. </w:t>
      </w:r>
    </w:p>
    <w:p w:rsidR="006141A2" w:rsidRPr="007F5C64" w:rsidRDefault="00AB2CA1" w:rsidP="007F5C64">
      <w:pPr>
        <w:pStyle w:val="NormalWeb"/>
        <w:shd w:val="clear" w:color="auto" w:fill="FFFFFF"/>
        <w:spacing w:after="0" w:line="480" w:lineRule="auto"/>
        <w:ind w:firstLine="720"/>
        <w:jc w:val="center"/>
        <w:rPr>
          <w:b/>
          <w:color w:val="333333"/>
        </w:rPr>
      </w:pPr>
      <w:r w:rsidRPr="007F5C64">
        <w:rPr>
          <w:b/>
          <w:color w:val="333333"/>
        </w:rPr>
        <w:t>Conclusion</w:t>
      </w:r>
    </w:p>
    <w:p w:rsidR="006141A2" w:rsidRDefault="00AB2CA1" w:rsidP="007F5C64">
      <w:pPr>
        <w:pStyle w:val="NormalWeb"/>
        <w:shd w:val="clear" w:color="auto" w:fill="FFFFFF"/>
        <w:spacing w:after="0" w:line="480" w:lineRule="auto"/>
        <w:ind w:firstLine="720"/>
        <w:rPr>
          <w:color w:val="333333"/>
        </w:rPr>
      </w:pPr>
      <w:r>
        <w:rPr>
          <w:color w:val="333333"/>
        </w:rPr>
        <w:t xml:space="preserve">It is evident that keeping in touch with standards and promoting quality in the current healthcare system has become a crucial entity for the healthcare organizations and the patients too. </w:t>
      </w:r>
      <w:r w:rsidR="001C000E">
        <w:rPr>
          <w:color w:val="333333"/>
        </w:rPr>
        <w:t>This paper has proposed that for a healthcare system to be efficient, the staffing policy should be implemented, where the patient to nurse ration should be within</w:t>
      </w:r>
      <w:bookmarkStart w:id="0" w:name="_GoBack"/>
      <w:bookmarkEnd w:id="0"/>
      <w:r w:rsidR="001C000E">
        <w:rPr>
          <w:color w:val="333333"/>
        </w:rPr>
        <w:t xml:space="preserve"> the normal federal </w:t>
      </w:r>
      <w:r w:rsidR="001C000E">
        <w:rPr>
          <w:color w:val="333333"/>
        </w:rPr>
        <w:lastRenderedPageBreak/>
        <w:t xml:space="preserve">regulations. </w:t>
      </w:r>
      <w:r>
        <w:rPr>
          <w:color w:val="333333"/>
        </w:rPr>
        <w:t xml:space="preserve">These standards provide challenges such as maintaining the financial viability for growth amid the constraint of regulations and policies set by the federal, local and state governments. In the course of implementing positive changes to the healthcare system, healthcare providers must understand the essentials of quality care and the correlation between the provision of quality care and the standards set by the law agencies. This paper has been successful in showing that comprehension of the relevant benchmarks that come about as a result of the regulations and laws and the correlations with the quality of care therein are important in implementing health reforms. </w:t>
      </w:r>
    </w:p>
    <w:p w:rsidR="00F911E3" w:rsidRDefault="00AB2CA1">
      <w:pPr>
        <w:rPr>
          <w:rFonts w:ascii="Times New Roman" w:eastAsia="Times New Roman" w:hAnsi="Times New Roman" w:cs="Times New Roman"/>
          <w:color w:val="333333"/>
          <w:sz w:val="24"/>
          <w:szCs w:val="24"/>
        </w:rPr>
      </w:pPr>
      <w:r>
        <w:rPr>
          <w:color w:val="333333"/>
        </w:rPr>
        <w:br w:type="page"/>
      </w:r>
    </w:p>
    <w:p w:rsidR="00BC1794" w:rsidRDefault="00AB2CA1" w:rsidP="00F911E3">
      <w:pPr>
        <w:pStyle w:val="NormalWeb"/>
        <w:shd w:val="clear" w:color="auto" w:fill="FFFFFF"/>
        <w:spacing w:after="0" w:line="480" w:lineRule="auto"/>
        <w:ind w:firstLine="720"/>
        <w:jc w:val="center"/>
        <w:rPr>
          <w:color w:val="333333"/>
        </w:rPr>
      </w:pPr>
      <w:r>
        <w:rPr>
          <w:color w:val="333333"/>
        </w:rPr>
        <w:lastRenderedPageBreak/>
        <w:t>References</w:t>
      </w:r>
    </w:p>
    <w:p w:rsidR="00F911E3" w:rsidRPr="00F911E3" w:rsidRDefault="00AB2CA1" w:rsidP="00F911E3">
      <w:pPr>
        <w:pStyle w:val="NormalWeb"/>
        <w:shd w:val="clear" w:color="auto" w:fill="FFFFFF"/>
        <w:spacing w:after="0" w:line="480" w:lineRule="auto"/>
        <w:ind w:left="720" w:hanging="720"/>
        <w:rPr>
          <w:color w:val="222222"/>
          <w:shd w:val="clear" w:color="auto" w:fill="FFFFFF"/>
        </w:rPr>
      </w:pPr>
      <w:r w:rsidRPr="00F911E3">
        <w:rPr>
          <w:color w:val="222222"/>
          <w:shd w:val="clear" w:color="auto" w:fill="FFFFFF"/>
        </w:rPr>
        <w:t>Abujudeh, H. H., Kaewlai, R., Asfaw, B. A., &amp; Thrall, J. H. (2010). Quality initiatives: key performance indicators for measuring and improving radiology department performance. </w:t>
      </w:r>
      <w:r w:rsidRPr="00F911E3">
        <w:rPr>
          <w:i/>
          <w:iCs/>
          <w:color w:val="222222"/>
          <w:shd w:val="clear" w:color="auto" w:fill="FFFFFF"/>
        </w:rPr>
        <w:t>Radiographics</w:t>
      </w:r>
      <w:r w:rsidRPr="00F911E3">
        <w:rPr>
          <w:color w:val="222222"/>
          <w:shd w:val="clear" w:color="auto" w:fill="FFFFFF"/>
        </w:rPr>
        <w:t>, </w:t>
      </w:r>
      <w:r w:rsidRPr="00F911E3">
        <w:rPr>
          <w:i/>
          <w:iCs/>
          <w:color w:val="222222"/>
          <w:shd w:val="clear" w:color="auto" w:fill="FFFFFF"/>
        </w:rPr>
        <w:t>30</w:t>
      </w:r>
      <w:r w:rsidRPr="00F911E3">
        <w:rPr>
          <w:color w:val="222222"/>
          <w:shd w:val="clear" w:color="auto" w:fill="FFFFFF"/>
        </w:rPr>
        <w:t>(3), 571-580.</w:t>
      </w:r>
    </w:p>
    <w:p w:rsidR="00F911E3" w:rsidRPr="00F911E3" w:rsidRDefault="00AB2CA1" w:rsidP="00F911E3">
      <w:pPr>
        <w:pStyle w:val="NormalWeb"/>
        <w:shd w:val="clear" w:color="auto" w:fill="FFFFFF"/>
        <w:spacing w:after="0" w:line="480" w:lineRule="auto"/>
        <w:ind w:left="720" w:hanging="720"/>
        <w:rPr>
          <w:color w:val="222222"/>
          <w:shd w:val="clear" w:color="auto" w:fill="FFFFFF"/>
        </w:rPr>
      </w:pPr>
      <w:r w:rsidRPr="00F911E3">
        <w:rPr>
          <w:color w:val="222222"/>
          <w:shd w:val="clear" w:color="auto" w:fill="FFFFFF"/>
        </w:rPr>
        <w:t>Klazinga, N., Fischer, C., &amp; ten Asbroek, A. (2011). Health services research related to performance indicators and benchmarking in Europe. </w:t>
      </w:r>
      <w:r w:rsidRPr="00F911E3">
        <w:rPr>
          <w:i/>
          <w:iCs/>
          <w:color w:val="222222"/>
          <w:shd w:val="clear" w:color="auto" w:fill="FFFFFF"/>
        </w:rPr>
        <w:t>Journal of Health Services Research &amp; Policy</w:t>
      </w:r>
      <w:r w:rsidRPr="00F911E3">
        <w:rPr>
          <w:color w:val="222222"/>
          <w:shd w:val="clear" w:color="auto" w:fill="FFFFFF"/>
        </w:rPr>
        <w:t>, </w:t>
      </w:r>
      <w:r w:rsidRPr="00F911E3">
        <w:rPr>
          <w:i/>
          <w:iCs/>
          <w:color w:val="222222"/>
          <w:shd w:val="clear" w:color="auto" w:fill="FFFFFF"/>
        </w:rPr>
        <w:t>16</w:t>
      </w:r>
      <w:r w:rsidRPr="00F911E3">
        <w:rPr>
          <w:color w:val="222222"/>
          <w:shd w:val="clear" w:color="auto" w:fill="FFFFFF"/>
        </w:rPr>
        <w:t>(suppl 2), 38-47.</w:t>
      </w:r>
    </w:p>
    <w:p w:rsidR="00F911E3" w:rsidRPr="00F911E3" w:rsidRDefault="00AB2CA1" w:rsidP="00F911E3">
      <w:pPr>
        <w:pStyle w:val="NormalWeb"/>
        <w:shd w:val="clear" w:color="auto" w:fill="FFFFFF"/>
        <w:spacing w:after="0" w:line="480" w:lineRule="auto"/>
        <w:ind w:left="720" w:hanging="720"/>
        <w:rPr>
          <w:color w:val="222222"/>
          <w:shd w:val="clear" w:color="auto" w:fill="FFFFFF"/>
        </w:rPr>
      </w:pPr>
      <w:r w:rsidRPr="00F911E3">
        <w:rPr>
          <w:color w:val="222222"/>
          <w:shd w:val="clear" w:color="auto" w:fill="FFFFFF"/>
        </w:rPr>
        <w:t>Lacy, J. S., Fielding, D. R., Sinclair III, E. L., Schremser, C. L., &amp; Cress, J. A. (2014). </w:t>
      </w:r>
      <w:r w:rsidRPr="00F911E3">
        <w:rPr>
          <w:i/>
          <w:iCs/>
          <w:color w:val="222222"/>
          <w:shd w:val="clear" w:color="auto" w:fill="FFFFFF"/>
        </w:rPr>
        <w:t>U.S. Patent Application No. 14/263,940</w:t>
      </w:r>
      <w:r w:rsidRPr="00F911E3">
        <w:rPr>
          <w:color w:val="222222"/>
          <w:shd w:val="clear" w:color="auto" w:fill="FFFFFF"/>
        </w:rPr>
        <w:t>.</w:t>
      </w:r>
    </w:p>
    <w:p w:rsidR="00F911E3" w:rsidRPr="00F911E3" w:rsidRDefault="00AB2CA1" w:rsidP="00F911E3">
      <w:pPr>
        <w:pStyle w:val="NormalWeb"/>
        <w:shd w:val="clear" w:color="auto" w:fill="FFFFFF"/>
        <w:spacing w:after="0" w:line="480" w:lineRule="auto"/>
        <w:ind w:left="720" w:hanging="720"/>
        <w:rPr>
          <w:color w:val="333333"/>
        </w:rPr>
      </w:pPr>
      <w:r w:rsidRPr="00F911E3">
        <w:rPr>
          <w:color w:val="222222"/>
          <w:shd w:val="clear" w:color="auto" w:fill="FFFFFF"/>
        </w:rPr>
        <w:t>Wadongo, B., Odhuno, E., Kambona, O., &amp; Othuon, L. (2010). Key performance indicators in the Kenyan hospitality industry: a managerial perspective. </w:t>
      </w:r>
      <w:r w:rsidRPr="00F911E3">
        <w:rPr>
          <w:i/>
          <w:iCs/>
          <w:color w:val="222222"/>
          <w:shd w:val="clear" w:color="auto" w:fill="FFFFFF"/>
        </w:rPr>
        <w:t>Benchmarking: An international journal</w:t>
      </w:r>
      <w:r w:rsidRPr="00F911E3">
        <w:rPr>
          <w:color w:val="222222"/>
          <w:shd w:val="clear" w:color="auto" w:fill="FFFFFF"/>
        </w:rPr>
        <w:t>, </w:t>
      </w:r>
      <w:r w:rsidRPr="00F911E3">
        <w:rPr>
          <w:i/>
          <w:iCs/>
          <w:color w:val="222222"/>
          <w:shd w:val="clear" w:color="auto" w:fill="FFFFFF"/>
        </w:rPr>
        <w:t>17</w:t>
      </w:r>
      <w:r w:rsidRPr="00F911E3">
        <w:rPr>
          <w:color w:val="222222"/>
          <w:shd w:val="clear" w:color="auto" w:fill="FFFFFF"/>
        </w:rPr>
        <w:t>(6), 858-875.</w:t>
      </w:r>
    </w:p>
    <w:sectPr w:rsidR="00F911E3" w:rsidRPr="00F911E3" w:rsidSect="002776F1">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219ADE7" w15:done="0"/>
  <w15:commentEx w15:paraId="C72BC7A6" w15:done="0"/>
  <w15:commentEx w15:paraId="C5C8ACC9" w15:done="0"/>
  <w15:commentEx w15:paraId="D900D377" w15:done="0"/>
  <w15:commentEx w15:paraId="4F7A264F" w15:done="0"/>
  <w15:commentEx w15:paraId="B6F934CD" w15:done="0"/>
  <w15:commentEx w15:paraId="13689C46" w15:done="0"/>
  <w15:commentEx w15:paraId="182491FC" w15:done="0"/>
  <w15:commentEx w15:paraId="03A31C52" w15:done="0"/>
  <w15:commentEx w15:paraId="044C884C" w15:done="0"/>
  <w15:commentEx w15:paraId="288406D3" w15:done="0"/>
  <w15:commentEx w15:paraId="0CB4F94F" w15:done="0"/>
  <w15:commentEx w15:paraId="335B532C" w15:done="0"/>
  <w15:commentEx w15:paraId="07BF5357" w15:done="0"/>
  <w15:commentEx w15:paraId="347ADC3E" w15:done="0"/>
  <w15:commentEx w15:paraId="7EA55D6B" w15:done="0"/>
  <w15:commentEx w15:paraId="69096CCF" w15:done="0"/>
  <w15:commentEx w15:paraId="2D4FC01A" w15:done="0"/>
  <w15:commentEx w15:paraId="49C433A4" w15:done="0"/>
  <w15:commentEx w15:paraId="D080559D" w15:done="0"/>
  <w15:commentEx w15:paraId="C04C2EF9" w15:done="0"/>
  <w15:commentEx w15:paraId="DEC2DADE" w15:done="0"/>
  <w15:commentEx w15:paraId="90EF5A56" w15:done="0"/>
  <w15:commentEx w15:paraId="54D3DF08" w15:done="0"/>
  <w15:commentEx w15:paraId="FF5A748A" w15:done="0"/>
  <w15:commentEx w15:paraId="C3D61D88" w15:done="0"/>
  <w15:commentEx w15:paraId="D39B3538" w15:done="0"/>
  <w15:commentEx w15:paraId="604C4B04" w15:done="0"/>
  <w15:commentEx w15:paraId="E8F33829" w15:done="0"/>
  <w15:commentEx w15:paraId="0822CC28" w15:done="0"/>
  <w15:commentEx w15:paraId="7022D60A" w15:done="0"/>
  <w15:commentEx w15:paraId="21946E21" w15:done="0"/>
  <w15:commentEx w15:paraId="C45E3201" w15:done="0"/>
  <w15:commentEx w15:paraId="4C4AAD12" w15:done="0"/>
  <w15:commentEx w15:paraId="C38D5E92" w15:done="0"/>
  <w15:commentEx w15:paraId="9DE4389A" w15:done="0"/>
  <w15:commentEx w15:paraId="FB3449C6" w15:done="0"/>
  <w15:commentEx w15:paraId="1F09A465" w15:done="0"/>
  <w15:commentEx w15:paraId="CAA9C275" w15:done="0"/>
  <w15:commentEx w15:paraId="EC00B596" w15:done="0"/>
  <w15:commentEx w15:paraId="C99C9EEA" w15:done="0"/>
  <w15:commentEx w15:paraId="EA408F22" w15:done="0"/>
  <w15:commentEx w15:paraId="B9271A7F" w15:done="0"/>
  <w15:commentEx w15:paraId="9A2BEC05" w15:done="0"/>
  <w15:commentEx w15:paraId="CB595D72" w15:done="0"/>
  <w15:commentEx w15:paraId="51F39C20" w15:done="0"/>
  <w15:commentEx w15:paraId="B64F9057" w15:done="0"/>
  <w15:commentEx w15:paraId="78BA0BBF" w15:done="0"/>
  <w15:commentEx w15:paraId="0B62DFE6" w15:done="0"/>
  <w15:commentEx w15:paraId="C282DFFF" w15:done="0"/>
  <w15:commentEx w15:paraId="F9F1B31C" w15:done="0"/>
  <w15:commentEx w15:paraId="D3B6BFE4" w15:done="0"/>
  <w15:commentEx w15:paraId="F683A7E0" w15:done="0"/>
  <w15:commentEx w15:paraId="9377D43D" w15:done="0"/>
  <w15:commentEx w15:paraId="5AACA130" w15:done="0"/>
  <w15:commentEx w15:paraId="85D4959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2D8" w:rsidRDefault="007262D8">
      <w:pPr>
        <w:spacing w:after="0" w:line="240" w:lineRule="auto"/>
      </w:pPr>
      <w:r>
        <w:separator/>
      </w:r>
    </w:p>
  </w:endnote>
  <w:endnote w:type="continuationSeparator" w:id="1">
    <w:p w:rsidR="007262D8" w:rsidRDefault="007262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2D8" w:rsidRDefault="007262D8">
      <w:pPr>
        <w:spacing w:after="0" w:line="240" w:lineRule="auto"/>
      </w:pPr>
      <w:r>
        <w:separator/>
      </w:r>
    </w:p>
  </w:footnote>
  <w:footnote w:type="continuationSeparator" w:id="1">
    <w:p w:rsidR="007262D8" w:rsidRDefault="007262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AB2CA1">
    <w:pPr>
      <w:pStyle w:val="Header"/>
      <w:rPr>
        <w:rFonts w:ascii="Times New Roman" w:hAnsi="Times New Roman" w:cs="Times New Roman"/>
        <w:sz w:val="24"/>
        <w:szCs w:val="24"/>
      </w:rPr>
    </w:pPr>
    <w:r>
      <w:rPr>
        <w:rFonts w:ascii="Times New Roman" w:hAnsi="Times New Roman" w:cs="Times New Roman"/>
        <w:sz w:val="24"/>
        <w:szCs w:val="24"/>
      </w:rPr>
      <w:t xml:space="preserve">REFORMS IN HEALTHCARE                                                    </w:t>
    </w:r>
    <w:r>
      <w:rPr>
        <w:rFonts w:ascii="Times New Roman" w:hAnsi="Times New Roman" w:cs="Times New Roman"/>
        <w:sz w:val="24"/>
        <w:szCs w:val="24"/>
      </w:rPr>
      <w:tab/>
    </w:r>
    <w:r w:rsidR="007F41B7"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7F41B7" w:rsidRPr="002776F1">
      <w:rPr>
        <w:rFonts w:ascii="Times New Roman" w:hAnsi="Times New Roman" w:cs="Times New Roman"/>
        <w:sz w:val="24"/>
        <w:szCs w:val="24"/>
      </w:rPr>
      <w:fldChar w:fldCharType="separate"/>
    </w:r>
    <w:r w:rsidR="00850584">
      <w:rPr>
        <w:rFonts w:ascii="Times New Roman" w:hAnsi="Times New Roman" w:cs="Times New Roman"/>
        <w:noProof/>
        <w:sz w:val="24"/>
        <w:szCs w:val="24"/>
      </w:rPr>
      <w:t>8</w:t>
    </w:r>
    <w:r w:rsidR="007F41B7"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AB2CA1">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REFORMS IN HEALTHCARE                   </w:t>
    </w:r>
    <w:r w:rsidRPr="002776F1">
      <w:rPr>
        <w:rFonts w:ascii="Times New Roman" w:hAnsi="Times New Roman" w:cs="Times New Roman"/>
        <w:sz w:val="24"/>
        <w:szCs w:val="24"/>
      </w:rPr>
      <w:tab/>
    </w:r>
    <w:r w:rsidR="007F41B7"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7F41B7" w:rsidRPr="002776F1">
      <w:rPr>
        <w:rFonts w:ascii="Times New Roman" w:hAnsi="Times New Roman" w:cs="Times New Roman"/>
        <w:sz w:val="24"/>
        <w:szCs w:val="24"/>
      </w:rPr>
      <w:fldChar w:fldCharType="separate"/>
    </w:r>
    <w:r w:rsidR="00850584">
      <w:rPr>
        <w:rFonts w:ascii="Times New Roman" w:hAnsi="Times New Roman" w:cs="Times New Roman"/>
        <w:noProof/>
        <w:sz w:val="24"/>
        <w:szCs w:val="24"/>
      </w:rPr>
      <w:t>1</w:t>
    </w:r>
    <w:r w:rsidR="007F41B7"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70F0A"/>
    <w:multiLevelType w:val="hybridMultilevel"/>
    <w:tmpl w:val="6CA437D6"/>
    <w:lvl w:ilvl="0" w:tplc="495A50A6">
      <w:start w:val="1"/>
      <w:numFmt w:val="decimal"/>
      <w:lvlText w:val="%1."/>
      <w:lvlJc w:val="left"/>
      <w:pPr>
        <w:ind w:left="0" w:hanging="360"/>
      </w:pPr>
      <w:rPr>
        <w:rFonts w:eastAsia="Arial" w:hint="default"/>
      </w:rPr>
    </w:lvl>
    <w:lvl w:ilvl="1" w:tplc="4764223C" w:tentative="1">
      <w:start w:val="1"/>
      <w:numFmt w:val="lowerLetter"/>
      <w:lvlText w:val="%2."/>
      <w:lvlJc w:val="left"/>
      <w:pPr>
        <w:ind w:left="720" w:hanging="360"/>
      </w:pPr>
    </w:lvl>
    <w:lvl w:ilvl="2" w:tplc="A1AA66B8" w:tentative="1">
      <w:start w:val="1"/>
      <w:numFmt w:val="lowerRoman"/>
      <w:lvlText w:val="%3."/>
      <w:lvlJc w:val="right"/>
      <w:pPr>
        <w:ind w:left="1440" w:hanging="180"/>
      </w:pPr>
    </w:lvl>
    <w:lvl w:ilvl="3" w:tplc="1D605FE6" w:tentative="1">
      <w:start w:val="1"/>
      <w:numFmt w:val="decimal"/>
      <w:lvlText w:val="%4."/>
      <w:lvlJc w:val="left"/>
      <w:pPr>
        <w:ind w:left="2160" w:hanging="360"/>
      </w:pPr>
    </w:lvl>
    <w:lvl w:ilvl="4" w:tplc="56CAF440" w:tentative="1">
      <w:start w:val="1"/>
      <w:numFmt w:val="lowerLetter"/>
      <w:lvlText w:val="%5."/>
      <w:lvlJc w:val="left"/>
      <w:pPr>
        <w:ind w:left="2880" w:hanging="360"/>
      </w:pPr>
    </w:lvl>
    <w:lvl w:ilvl="5" w:tplc="EAC4DFC8" w:tentative="1">
      <w:start w:val="1"/>
      <w:numFmt w:val="lowerRoman"/>
      <w:lvlText w:val="%6."/>
      <w:lvlJc w:val="right"/>
      <w:pPr>
        <w:ind w:left="3600" w:hanging="180"/>
      </w:pPr>
    </w:lvl>
    <w:lvl w:ilvl="6" w:tplc="77E4D3B0" w:tentative="1">
      <w:start w:val="1"/>
      <w:numFmt w:val="decimal"/>
      <w:lvlText w:val="%7."/>
      <w:lvlJc w:val="left"/>
      <w:pPr>
        <w:ind w:left="4320" w:hanging="360"/>
      </w:pPr>
    </w:lvl>
    <w:lvl w:ilvl="7" w:tplc="A482C094" w:tentative="1">
      <w:start w:val="1"/>
      <w:numFmt w:val="lowerLetter"/>
      <w:lvlText w:val="%8."/>
      <w:lvlJc w:val="left"/>
      <w:pPr>
        <w:ind w:left="5040" w:hanging="360"/>
      </w:pPr>
    </w:lvl>
    <w:lvl w:ilvl="8" w:tplc="7ACEA886" w:tentative="1">
      <w:start w:val="1"/>
      <w:numFmt w:val="lowerRoman"/>
      <w:lvlText w:val="%9."/>
      <w:lvlJc w:val="right"/>
      <w:pPr>
        <w:ind w:left="5760" w:hanging="180"/>
      </w:pPr>
    </w:lvl>
  </w:abstractNum>
  <w:abstractNum w:abstractNumId="1">
    <w:nsid w:val="5B3E125C"/>
    <w:multiLevelType w:val="multilevel"/>
    <w:tmpl w:val="1D268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7A0NDE1NzYyMDE3tzBU0lEKTi0uzszPAykwNKkFAOAWzBAtAAAA"/>
  </w:docVars>
  <w:rsids>
    <w:rsidRoot w:val="0099159E"/>
    <w:rsid w:val="00101EC9"/>
    <w:rsid w:val="001C000E"/>
    <w:rsid w:val="001E61F5"/>
    <w:rsid w:val="003579E7"/>
    <w:rsid w:val="00530ACB"/>
    <w:rsid w:val="006700B6"/>
    <w:rsid w:val="007262D8"/>
    <w:rsid w:val="007544DD"/>
    <w:rsid w:val="007B75CE"/>
    <w:rsid w:val="007F41B7"/>
    <w:rsid w:val="00850584"/>
    <w:rsid w:val="0099159E"/>
    <w:rsid w:val="00AB2C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1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F41B7"/>
    <w:pPr>
      <w:spacing w:line="240" w:lineRule="auto"/>
    </w:pPr>
    <w:rPr>
      <w:sz w:val="20"/>
      <w:szCs w:val="20"/>
    </w:rPr>
  </w:style>
  <w:style w:type="character" w:customStyle="1" w:styleId="CommentTextChar">
    <w:name w:val="Comment Text Char"/>
    <w:basedOn w:val="DefaultParagraphFont"/>
    <w:link w:val="CommentText"/>
    <w:uiPriority w:val="99"/>
    <w:semiHidden/>
    <w:rsid w:val="007F41B7"/>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6578D"/>
    <w:rPr>
      <w:color w:val="0000FF" w:themeColor="hyperlink"/>
      <w:u w:val="single"/>
    </w:rPr>
  </w:style>
  <w:style w:type="paragraph" w:styleId="ListParagraph">
    <w:name w:val="List Paragraph"/>
    <w:basedOn w:val="Normal"/>
    <w:uiPriority w:val="34"/>
    <w:qFormat/>
    <w:rsid w:val="00433E3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6578D"/>
    <w:rPr>
      <w:color w:val="0000FF" w:themeColor="hyperlink"/>
      <w:u w:val="single"/>
    </w:rPr>
  </w:style>
  <w:style w:type="paragraph" w:styleId="ListParagraph">
    <w:name w:val="List Paragraph"/>
    <w:basedOn w:val="Normal"/>
    <w:uiPriority w:val="34"/>
    <w:qFormat/>
    <w:rsid w:val="00433E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67386-3038-4199-8103-5411CC77A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1706</Words>
  <Characters>9725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2018-02-03T18:05:00Z</dcterms:created>
  <dcterms:modified xsi:type="dcterms:W3CDTF">2018-02-03T18:05:00Z</dcterms:modified>
</cp:coreProperties>
</file>